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E729" w14:textId="25F80FE6" w:rsidR="00AA6D76" w:rsidRDefault="00AA6D76" w:rsidP="005F4975">
      <w:pPr>
        <w:pStyle w:val="NormalWeb"/>
        <w:tabs>
          <w:tab w:val="right" w:pos="10348"/>
        </w:tabs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8C109B9" wp14:editId="309EECCD">
            <wp:extent cx="793750" cy="623001"/>
            <wp:effectExtent l="0" t="0" r="6350" b="5715"/>
            <wp:docPr id="2" name="Picture 2" descr="Image result for NHS England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15C9">
        <w:rPr>
          <w:rFonts w:ascii="Calibri" w:hAnsi="Calibri" w:cs="Calibri"/>
          <w:color w:val="1F497D"/>
          <w:sz w:val="22"/>
          <w:szCs w:val="22"/>
        </w:rPr>
        <w:t xml:space="preserve">                   </w:t>
      </w:r>
      <w:r w:rsidR="00D615C9"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641297C2" wp14:editId="3A0897E3">
            <wp:extent cx="241935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ab/>
      </w:r>
      <w:r>
        <w:rPr>
          <w:noProof/>
        </w:rPr>
        <w:drawing>
          <wp:inline distT="0" distB="0" distL="0" distR="0" wp14:anchorId="5BEF5235" wp14:editId="07319E03">
            <wp:extent cx="1358900" cy="560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 NHS Doncaster CCG Logo - colour jpe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7" t="18241" r="7752" b="28268"/>
                    <a:stretch/>
                  </pic:blipFill>
                  <pic:spPr bwMode="auto">
                    <a:xfrm>
                      <a:off x="0" y="0"/>
                      <a:ext cx="1358298" cy="56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CDEA5" w14:textId="65071A4C" w:rsidR="00AA6D76" w:rsidRDefault="00AA6D76" w:rsidP="00AA6D76">
      <w:pPr>
        <w:pStyle w:val="NormalWeb"/>
        <w:rPr>
          <w:rFonts w:ascii="Calibri" w:hAnsi="Calibri" w:cs="Calibri"/>
          <w:color w:val="1F497D"/>
          <w:sz w:val="22"/>
          <w:szCs w:val="22"/>
        </w:rPr>
      </w:pPr>
    </w:p>
    <w:p w14:paraId="5C88D1EA" w14:textId="77777777" w:rsidR="005A0454" w:rsidRDefault="005A0454" w:rsidP="00AA6D76">
      <w:pPr>
        <w:pStyle w:val="NormalWeb"/>
        <w:rPr>
          <w:rFonts w:ascii="Calibri" w:hAnsi="Calibri" w:cs="Calibri"/>
          <w:color w:val="1F497D"/>
          <w:sz w:val="22"/>
          <w:szCs w:val="22"/>
        </w:rPr>
      </w:pPr>
    </w:p>
    <w:p w14:paraId="7E56361B" w14:textId="37C1E187" w:rsidR="00AA6D76" w:rsidRDefault="005A0454" w:rsidP="00AA6D76">
      <w:pPr>
        <w:pStyle w:val="NormalWeb"/>
        <w:rPr>
          <w:rFonts w:ascii="Arial" w:hAnsi="Arial" w:cs="Arial"/>
          <w:color w:val="1F497D"/>
          <w:sz w:val="32"/>
          <w:szCs w:val="22"/>
        </w:rPr>
      </w:pPr>
      <w:r>
        <w:rPr>
          <w:rFonts w:ascii="Arial" w:hAnsi="Arial" w:cs="Arial"/>
          <w:color w:val="1F497D"/>
          <w:sz w:val="32"/>
          <w:szCs w:val="22"/>
        </w:rPr>
        <w:t xml:space="preserve">      </w:t>
      </w:r>
      <w:r w:rsidR="00DD4709">
        <w:rPr>
          <w:rFonts w:ascii="Arial" w:hAnsi="Arial" w:cs="Arial"/>
          <w:color w:val="1F497D"/>
          <w:sz w:val="32"/>
          <w:szCs w:val="22"/>
        </w:rPr>
        <w:t>Doncaster CCG</w:t>
      </w:r>
      <w:r w:rsidR="00DD4709" w:rsidRPr="00DD4709">
        <w:rPr>
          <w:rFonts w:ascii="Arial" w:hAnsi="Arial" w:cs="Arial"/>
          <w:color w:val="1F497D"/>
          <w:sz w:val="32"/>
          <w:szCs w:val="22"/>
        </w:rPr>
        <w:t xml:space="preserve"> Position Statement on Opioid Prescribing</w:t>
      </w:r>
      <w:r w:rsidR="0036636F">
        <w:rPr>
          <w:rFonts w:ascii="Arial" w:hAnsi="Arial" w:cs="Arial"/>
          <w:color w:val="1F497D"/>
          <w:sz w:val="32"/>
          <w:szCs w:val="22"/>
        </w:rPr>
        <w:t xml:space="preserve"> 20</w:t>
      </w:r>
      <w:r w:rsidR="000D5E08">
        <w:rPr>
          <w:rFonts w:ascii="Arial" w:hAnsi="Arial" w:cs="Arial"/>
          <w:color w:val="1F497D"/>
          <w:sz w:val="32"/>
          <w:szCs w:val="22"/>
        </w:rPr>
        <w:t>21</w:t>
      </w:r>
    </w:p>
    <w:p w14:paraId="4BC393ED" w14:textId="4E54A247" w:rsidR="00DD4709" w:rsidRPr="0084693A" w:rsidRDefault="00DD4709" w:rsidP="00AA6D76">
      <w:pPr>
        <w:pStyle w:val="NormalWeb"/>
        <w:rPr>
          <w:rFonts w:ascii="Arial" w:hAnsi="Arial" w:cs="Arial"/>
        </w:rPr>
      </w:pPr>
      <w:r w:rsidRPr="0084693A">
        <w:rPr>
          <w:rFonts w:ascii="Arial" w:hAnsi="Arial" w:cs="Arial"/>
        </w:rPr>
        <w:t>Developed in collaboration with the</w:t>
      </w:r>
      <w:r w:rsidR="00611B4C" w:rsidRPr="0084693A">
        <w:rPr>
          <w:rFonts w:ascii="Arial" w:hAnsi="Arial" w:cs="Arial"/>
        </w:rPr>
        <w:t xml:space="preserve"> Emergency/ Urgent Care team and</w:t>
      </w:r>
      <w:r w:rsidRPr="0084693A">
        <w:rPr>
          <w:rFonts w:ascii="Arial" w:hAnsi="Arial" w:cs="Arial"/>
        </w:rPr>
        <w:t xml:space="preserve"> Pain Management team from Doncaster and Bassetlaw NHS Teaching Hospital Foundation Trust (DBTHFT)</w:t>
      </w:r>
    </w:p>
    <w:p w14:paraId="120168DD" w14:textId="5B20AE24" w:rsidR="00DD4709" w:rsidRPr="0084693A" w:rsidRDefault="00DD4709" w:rsidP="00AA6D76">
      <w:pPr>
        <w:pStyle w:val="NormalWeb"/>
        <w:rPr>
          <w:rFonts w:ascii="Arial" w:hAnsi="Arial" w:cs="Arial"/>
        </w:rPr>
      </w:pPr>
    </w:p>
    <w:p w14:paraId="0FC57C57" w14:textId="263FC03E" w:rsidR="00DD4709" w:rsidRDefault="00DD4709" w:rsidP="00AA6D76">
      <w:pPr>
        <w:pStyle w:val="NormalWeb"/>
      </w:pPr>
    </w:p>
    <w:p w14:paraId="76BECB8F" w14:textId="622CE09C" w:rsidR="00DD4709" w:rsidRDefault="00823EF8" w:rsidP="00AA6D76">
      <w:pPr>
        <w:pStyle w:val="NormalWeb"/>
        <w:rPr>
          <w:rFonts w:ascii="Arial" w:hAnsi="Arial" w:cs="Arial"/>
          <w:color w:val="1F497D"/>
          <w:sz w:val="32"/>
          <w:szCs w:val="22"/>
        </w:rPr>
      </w:pPr>
      <w:r w:rsidRPr="00A97465">
        <w:rPr>
          <w:rFonts w:ascii="Arial" w:hAnsi="Arial" w:cs="Arial"/>
          <w:b/>
          <w:bCs/>
          <w:noProof/>
          <w:color w:val="E36C0A" w:themeColor="accent6" w:themeShade="BF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2823ED" wp14:editId="2B946710">
                <wp:simplePos x="0" y="0"/>
                <wp:positionH relativeFrom="column">
                  <wp:posOffset>57150</wp:posOffset>
                </wp:positionH>
                <wp:positionV relativeFrom="paragraph">
                  <wp:posOffset>419100</wp:posOffset>
                </wp:positionV>
                <wp:extent cx="65722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F2C2" w14:textId="674B481B" w:rsidR="00823EF8" w:rsidRPr="0084693A" w:rsidRDefault="00823EF8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4693A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Doncaster CCG and DBTHFT DO NOT support the long-term prescribing (greater than 3 months) of opioids or the use of high dose opioids (higher than 120mg/daily of morphine or equivalent) for non-cancer, chronic pain in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28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3pt;width:517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UcIw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">
                <v:textbox style="mso-fit-shape-to-text:t">
                  <w:txbxContent>
                    <w:p w14:paraId="09A1F2C2" w14:textId="674B481B" w:rsidR="00823EF8" w:rsidRPr="0084693A" w:rsidRDefault="00823EF8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4693A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Doncaster CCG and DBTHFT DO NOT support the long-term prescribing (greater than 3 months) of opioids or the use of high dose opioids (higher than 120mg/daily of morphine or equivalent) for non-cancer, chronic pain in adults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709" w:rsidRPr="00A97465">
        <w:rPr>
          <w:rFonts w:ascii="Arial" w:hAnsi="Arial" w:cs="Arial"/>
          <w:b/>
          <w:bCs/>
          <w:color w:val="E36C0A" w:themeColor="accent6" w:themeShade="BF"/>
          <w:sz w:val="32"/>
          <w:szCs w:val="22"/>
        </w:rPr>
        <w:t>In GP Practice and Primary</w:t>
      </w:r>
      <w:r w:rsidR="00DD4709" w:rsidRPr="0084693A">
        <w:rPr>
          <w:rFonts w:ascii="Arial" w:hAnsi="Arial" w:cs="Arial"/>
          <w:color w:val="E36C0A" w:themeColor="accent6" w:themeShade="BF"/>
          <w:sz w:val="32"/>
          <w:szCs w:val="22"/>
        </w:rPr>
        <w:t xml:space="preserve"> </w:t>
      </w:r>
      <w:r w:rsidR="00DD4709" w:rsidRPr="00A97465">
        <w:rPr>
          <w:rFonts w:ascii="Arial" w:hAnsi="Arial" w:cs="Arial"/>
          <w:b/>
          <w:bCs/>
          <w:color w:val="E36C0A" w:themeColor="accent6" w:themeShade="BF"/>
          <w:sz w:val="32"/>
          <w:szCs w:val="22"/>
        </w:rPr>
        <w:t>Care</w:t>
      </w:r>
    </w:p>
    <w:p w14:paraId="551598B9" w14:textId="5DB80417" w:rsidR="00DD4709" w:rsidRPr="00823EF8" w:rsidRDefault="00823EF8" w:rsidP="00AA6D76">
      <w:pPr>
        <w:pStyle w:val="NormalWeb"/>
        <w:rPr>
          <w:rFonts w:ascii="Arial" w:hAnsi="Arial" w:cs="Arial"/>
          <w:b/>
          <w:bCs/>
          <w:color w:val="1F497D"/>
        </w:rPr>
      </w:pPr>
      <w:r w:rsidRPr="00823EF8">
        <w:rPr>
          <w:b/>
          <w:bCs/>
        </w:rPr>
        <w:t xml:space="preserve">                This position statement is intended for use in line with your own clinical judgement</w:t>
      </w:r>
    </w:p>
    <w:p w14:paraId="2BEE1964" w14:textId="77777777" w:rsidR="00823EF8" w:rsidRDefault="00823EF8" w:rsidP="00AA6D76">
      <w:pPr>
        <w:pStyle w:val="NormalWeb"/>
      </w:pPr>
    </w:p>
    <w:p w14:paraId="0340C376" w14:textId="77777777" w:rsidR="00823EF8" w:rsidRDefault="00823EF8" w:rsidP="00AA6D76">
      <w:pPr>
        <w:pStyle w:val="NormalWeb"/>
      </w:pPr>
    </w:p>
    <w:p w14:paraId="1CCB4FF2" w14:textId="0683A841" w:rsidR="00823EF8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The WHO pain ladder does not apply to the management of chronic pain and there is little evidence to suggest opioids are helpful in long term pain</w:t>
      </w:r>
      <w:r w:rsidRPr="007E2572">
        <w:rPr>
          <w:rFonts w:ascii="Arial" w:hAnsi="Arial" w:cs="Arial"/>
          <w:vertAlign w:val="superscript"/>
        </w:rPr>
        <w:t>1</w:t>
      </w:r>
      <w:r w:rsidRPr="007E2572">
        <w:rPr>
          <w:rFonts w:ascii="Arial" w:hAnsi="Arial" w:cs="Arial"/>
        </w:rPr>
        <w:t xml:space="preserve"> (lasting over 3 months). </w:t>
      </w:r>
    </w:p>
    <w:p w14:paraId="03DA8695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523D999E" w14:textId="1B27ABDA" w:rsidR="00823EF8" w:rsidRPr="007E2572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In a recent report, Public Health England found that prescribing opioid pain medicines for longer than 3 months is associated with opioid overdose and dependence</w:t>
      </w:r>
      <w:r w:rsidRPr="007E2572">
        <w:rPr>
          <w:rFonts w:ascii="Arial" w:hAnsi="Arial" w:cs="Arial"/>
          <w:vertAlign w:val="superscript"/>
        </w:rPr>
        <w:t>2</w:t>
      </w:r>
    </w:p>
    <w:p w14:paraId="2A9CD6E0" w14:textId="07A6A52E" w:rsidR="00823EF8" w:rsidRDefault="00823EF8" w:rsidP="00AA6D76">
      <w:pPr>
        <w:pStyle w:val="NormalWeb"/>
      </w:pPr>
    </w:p>
    <w:p w14:paraId="1F1B9CBF" w14:textId="6050E355" w:rsidR="00823EF8" w:rsidRPr="00A97465" w:rsidRDefault="00823EF8" w:rsidP="00AA6D76">
      <w:pPr>
        <w:pStyle w:val="NormalWeb"/>
        <w:rPr>
          <w:rFonts w:ascii="Arial" w:hAnsi="Arial" w:cs="Arial"/>
          <w:b/>
          <w:bCs/>
          <w:color w:val="E36C0A" w:themeColor="accent6" w:themeShade="BF"/>
          <w:sz w:val="32"/>
          <w:szCs w:val="32"/>
        </w:rPr>
      </w:pPr>
      <w:r w:rsidRPr="00A97465">
        <w:rPr>
          <w:rFonts w:ascii="Arial" w:hAnsi="Arial" w:cs="Arial"/>
          <w:b/>
          <w:bCs/>
          <w:color w:val="E36C0A" w:themeColor="accent6" w:themeShade="BF"/>
          <w:sz w:val="32"/>
          <w:szCs w:val="32"/>
        </w:rPr>
        <w:t>Doncaster has been found among the highest for rates of opioid prescriptions within England and Wales</w:t>
      </w:r>
      <w:r w:rsidR="00796AFC" w:rsidRPr="00A97465">
        <w:rPr>
          <w:rFonts w:ascii="Arial" w:hAnsi="Arial" w:cs="Arial"/>
          <w:b/>
          <w:bCs/>
          <w:color w:val="E36C0A" w:themeColor="accent6" w:themeShade="BF"/>
          <w:sz w:val="32"/>
          <w:szCs w:val="32"/>
          <w:vertAlign w:val="superscript"/>
        </w:rPr>
        <w:t>2</w:t>
      </w:r>
    </w:p>
    <w:p w14:paraId="2883D43E" w14:textId="77777777" w:rsidR="00823EF8" w:rsidRDefault="00823EF8" w:rsidP="00AA6D76">
      <w:pPr>
        <w:pStyle w:val="NormalWeb"/>
      </w:pPr>
    </w:p>
    <w:p w14:paraId="7A2AF936" w14:textId="7169A1BF" w:rsidR="00796AF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 xml:space="preserve">If you suspect drug-seeking behaviour from your patient in any setting, </w:t>
      </w:r>
      <w:r w:rsidR="00796AFC" w:rsidRPr="007E2572">
        <w:rPr>
          <w:rFonts w:ascii="Arial" w:hAnsi="Arial" w:cs="Arial"/>
        </w:rPr>
        <w:t>Doncaster</w:t>
      </w:r>
      <w:r w:rsidRPr="007E2572">
        <w:rPr>
          <w:rFonts w:ascii="Arial" w:hAnsi="Arial" w:cs="Arial"/>
        </w:rPr>
        <w:t xml:space="preserve"> CCG fully supports and encourages any decision to refuse to prescribe opioids. </w:t>
      </w:r>
    </w:p>
    <w:p w14:paraId="7C6F0F40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79371A9" w14:textId="4BA8F59F" w:rsidR="00796AF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The Faculty of Pain Medicine (Royal College of Anaesthetists), in partnership with Public Health England advises that if a patient has pain that remains severe despite opioid treatment, it is not working and should be stopped, even if no other treatment is available</w:t>
      </w:r>
      <w:r w:rsidR="00796AFC" w:rsidRPr="007E2572">
        <w:rPr>
          <w:rFonts w:ascii="Arial" w:hAnsi="Arial" w:cs="Arial"/>
          <w:vertAlign w:val="superscript"/>
        </w:rPr>
        <w:t>3</w:t>
      </w:r>
      <w:r w:rsidR="00796AFC" w:rsidRPr="007E2572">
        <w:rPr>
          <w:rFonts w:ascii="Arial" w:hAnsi="Arial" w:cs="Arial"/>
        </w:rPr>
        <w:t>.</w:t>
      </w:r>
      <w:r w:rsidRPr="007E2572">
        <w:rPr>
          <w:rFonts w:ascii="Arial" w:hAnsi="Arial" w:cs="Arial"/>
        </w:rPr>
        <w:t xml:space="preserve"> </w:t>
      </w:r>
    </w:p>
    <w:p w14:paraId="2BE3B9D7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C374745" w14:textId="2FB60054" w:rsidR="00796AFC" w:rsidRPr="007E2572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Tapering or stopping high dose opioids requires careful planning and collaboration with the patient and all members of their healthcare team</w:t>
      </w:r>
      <w:r w:rsidRPr="007E2572">
        <w:rPr>
          <w:rFonts w:ascii="Arial" w:hAnsi="Arial" w:cs="Arial"/>
          <w:vertAlign w:val="superscript"/>
        </w:rPr>
        <w:t>2</w:t>
      </w:r>
      <w:r w:rsidRPr="007E2572">
        <w:rPr>
          <w:rFonts w:ascii="Arial" w:hAnsi="Arial" w:cs="Arial"/>
        </w:rPr>
        <w:t xml:space="preserve">. </w:t>
      </w:r>
    </w:p>
    <w:p w14:paraId="74375D52" w14:textId="77777777" w:rsidR="00796AFC" w:rsidRPr="007E2572" w:rsidRDefault="00796AFC" w:rsidP="00AA6D76">
      <w:pPr>
        <w:pStyle w:val="NormalWeb"/>
        <w:rPr>
          <w:rFonts w:ascii="Arial" w:hAnsi="Arial" w:cs="Arial"/>
        </w:rPr>
      </w:pPr>
    </w:p>
    <w:p w14:paraId="79AB6167" w14:textId="3EC4AF18" w:rsidR="00796AFC" w:rsidRPr="007E2572" w:rsidRDefault="00796AFC" w:rsidP="00AA6D76">
      <w:pPr>
        <w:pStyle w:val="NormalWeb"/>
        <w:rPr>
          <w:rFonts w:ascii="Arial" w:hAnsi="Arial" w:cs="Arial"/>
          <w:b/>
          <w:bCs/>
          <w:color w:val="E36C0A" w:themeColor="accent6" w:themeShade="BF"/>
        </w:rPr>
      </w:pPr>
      <w:r w:rsidRPr="007E2572">
        <w:rPr>
          <w:rFonts w:ascii="Arial" w:hAnsi="Arial" w:cs="Arial"/>
          <w:b/>
          <w:bCs/>
          <w:color w:val="E36C0A" w:themeColor="accent6" w:themeShade="BF"/>
        </w:rPr>
        <w:t>For advice on stopping opioids safely, refer to the following: Tapering &amp; Stopping of opioids. Faculty of Pain Medicine, RCoA</w:t>
      </w:r>
      <w:r w:rsidRPr="007E2572">
        <w:rPr>
          <w:rFonts w:ascii="Arial" w:hAnsi="Arial" w:cs="Arial"/>
          <w:b/>
          <w:bCs/>
          <w:color w:val="E36C0A" w:themeColor="accent6" w:themeShade="BF"/>
          <w:vertAlign w:val="superscript"/>
        </w:rPr>
        <w:t>©2019</w:t>
      </w:r>
    </w:p>
    <w:p w14:paraId="1A7DFD2B" w14:textId="3A361B43" w:rsidR="00796AFC" w:rsidRPr="007E2572" w:rsidRDefault="00A85D9F" w:rsidP="00AA6D76">
      <w:pPr>
        <w:pStyle w:val="NormalWeb"/>
        <w:rPr>
          <w:rFonts w:ascii="Arial" w:hAnsi="Arial" w:cs="Arial"/>
        </w:rPr>
      </w:pPr>
      <w:hyperlink r:id="rId13" w:history="1">
        <w:r w:rsidR="00796AFC" w:rsidRPr="007E2572">
          <w:rPr>
            <w:rStyle w:val="Hyperlink"/>
            <w:rFonts w:ascii="Arial" w:hAnsi="Arial" w:cs="Arial"/>
          </w:rPr>
          <w:t>https://www.rcoa.ac.uk/faculty-of-pain-medicine/opioids-aware/structured-approach-to-prescribing/tapering-and-stopping</w:t>
        </w:r>
      </w:hyperlink>
    </w:p>
    <w:p w14:paraId="7D15F643" w14:textId="15D4F8E3" w:rsidR="00796AFC" w:rsidRPr="007E2572" w:rsidRDefault="00796AFC" w:rsidP="00AA6D76">
      <w:pPr>
        <w:pStyle w:val="NormalWeb"/>
        <w:rPr>
          <w:rFonts w:ascii="Arial" w:hAnsi="Arial" w:cs="Arial"/>
        </w:rPr>
      </w:pPr>
    </w:p>
    <w:p w14:paraId="55063B2A" w14:textId="5A5D4838" w:rsidR="00611B4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 xml:space="preserve">All drugs prescribed for pain should undergo regular review to evaluate continued efficacy. Periodic dose tapering is necessary to evaluate on-going need. </w:t>
      </w:r>
    </w:p>
    <w:p w14:paraId="47A86163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96BC1AA" w14:textId="75D7C0B1" w:rsidR="000D5E08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Prescribers should be mindful of the risk of diversion of opioids and other dependence forming medication and should consider the safeguarding implications of prescribing</w:t>
      </w:r>
      <w:r w:rsidR="00611B4C" w:rsidRPr="007E2572">
        <w:rPr>
          <w:rFonts w:ascii="Arial" w:hAnsi="Arial" w:cs="Arial"/>
        </w:rPr>
        <w:t>.</w:t>
      </w:r>
    </w:p>
    <w:p w14:paraId="71084334" w14:textId="77777777" w:rsidR="005A0454" w:rsidRPr="007E2572" w:rsidRDefault="005A0454" w:rsidP="00AA6D76">
      <w:pPr>
        <w:pStyle w:val="NormalWeb"/>
        <w:rPr>
          <w:rFonts w:ascii="Arial" w:hAnsi="Arial" w:cs="Arial"/>
        </w:rPr>
      </w:pPr>
    </w:p>
    <w:p w14:paraId="2A221B0A" w14:textId="7974209A" w:rsidR="00611B4C" w:rsidRDefault="00611B4C" w:rsidP="00AA6D76">
      <w:pPr>
        <w:pStyle w:val="NormalWeb"/>
      </w:pPr>
    </w:p>
    <w:p w14:paraId="73B3591C" w14:textId="58025109" w:rsidR="00A97465" w:rsidRDefault="00A97465" w:rsidP="00AA6D76">
      <w:pPr>
        <w:pStyle w:val="NormalWeb"/>
        <w:rPr>
          <w:sz w:val="20"/>
          <w:szCs w:val="20"/>
        </w:rPr>
      </w:pPr>
    </w:p>
    <w:p w14:paraId="6BEBB89C" w14:textId="77777777" w:rsidR="00101B31" w:rsidRDefault="00101B31" w:rsidP="00AA6D76">
      <w:pPr>
        <w:pStyle w:val="NormalWeb"/>
      </w:pPr>
    </w:p>
    <w:p w14:paraId="23E7CFA9" w14:textId="77777777" w:rsidR="00A97465" w:rsidRDefault="00A97465" w:rsidP="00AA6D76">
      <w:pPr>
        <w:pStyle w:val="NormalWeb"/>
      </w:pPr>
    </w:p>
    <w:p w14:paraId="65887139" w14:textId="2B4BAA9C" w:rsidR="00A97465" w:rsidRDefault="00A97465" w:rsidP="00AA6D76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0E69660" wp14:editId="0923B878">
            <wp:extent cx="793750" cy="623001"/>
            <wp:effectExtent l="0" t="0" r="6350" b="5715"/>
            <wp:docPr id="6" name="Picture 6" descr="Image result for NHS England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</w:t>
      </w:r>
      <w:r w:rsidR="00D615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33794DA" wp14:editId="6DE731DB">
            <wp:extent cx="2213084" cy="7448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75" cy="74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5C9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</w:t>
      </w:r>
      <w:r w:rsidR="00D615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1486464" wp14:editId="0C295397">
            <wp:extent cx="1359535" cy="560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                      </w:t>
      </w:r>
    </w:p>
    <w:p w14:paraId="617237D9" w14:textId="4CF18165" w:rsidR="00A97465" w:rsidRDefault="00A97465" w:rsidP="00AA6D76">
      <w:pPr>
        <w:pStyle w:val="NormalWeb"/>
        <w:rPr>
          <w:rFonts w:ascii="Arial" w:hAnsi="Arial" w:cs="Arial"/>
          <w:color w:val="000000" w:themeColor="text1"/>
        </w:rPr>
      </w:pPr>
    </w:p>
    <w:p w14:paraId="4AA148D3" w14:textId="77777777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</w:p>
    <w:p w14:paraId="75AA6169" w14:textId="58D490A5" w:rsidR="008D24E6" w:rsidRPr="00E0119E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>Alternative treatment</w:t>
      </w:r>
      <w:r w:rsidR="006061CA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71B8AD58" w14:textId="77777777" w:rsidR="008D24E6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Gabapentin and pregabalin should only be prescribed for their licensed indications. </w:t>
      </w:r>
    </w:p>
    <w:p w14:paraId="15DBD764" w14:textId="2685D38E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DBTHFT and Doncaster</w:t>
      </w:r>
      <w:r w:rsidR="00611B4C" w:rsidRPr="0084693A">
        <w:rPr>
          <w:rFonts w:ascii="Arial" w:hAnsi="Arial" w:cs="Arial"/>
          <w:color w:val="000000" w:themeColor="text1"/>
        </w:rPr>
        <w:t xml:space="preserve"> CCG do not support the use of pregabalin and gabapentin to treat chronic, nociceptive (non-neuro</w:t>
      </w:r>
      <w:r w:rsidR="00605637">
        <w:rPr>
          <w:rFonts w:ascii="Arial" w:hAnsi="Arial" w:cs="Arial"/>
          <w:color w:val="000000" w:themeColor="text1"/>
        </w:rPr>
        <w:t>pathic</w:t>
      </w:r>
      <w:r w:rsidR="00611B4C" w:rsidRPr="0084693A">
        <w:rPr>
          <w:rFonts w:ascii="Arial" w:hAnsi="Arial" w:cs="Arial"/>
          <w:color w:val="000000" w:themeColor="text1"/>
        </w:rPr>
        <w:t>) pain in adults.</w:t>
      </w:r>
    </w:p>
    <w:p w14:paraId="1E333043" w14:textId="77777777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</w:p>
    <w:p w14:paraId="6F93DDA1" w14:textId="77777777" w:rsidR="008D24E6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Patients can use various self-management techniques to help with their pain. </w:t>
      </w:r>
    </w:p>
    <w:p w14:paraId="1A85CA6A" w14:textId="6DBDE101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The NHS: 10 Ways to reduce pain </w:t>
      </w:r>
      <w:hyperlink r:id="rId16" w:history="1">
        <w:r w:rsidR="001B3B7F" w:rsidRPr="00A40D0A">
          <w:rPr>
            <w:rStyle w:val="Hyperlink"/>
            <w:rFonts w:ascii="Arial" w:hAnsi="Arial" w:cs="Arial"/>
          </w:rPr>
          <w:t>https://www.nhs.uk/live-well/healthy-body/10-ways-to-ease-pain/</w:t>
        </w:r>
      </w:hyperlink>
      <w:r w:rsidR="001B3B7F">
        <w:rPr>
          <w:rFonts w:ascii="Arial" w:hAnsi="Arial" w:cs="Arial"/>
          <w:color w:val="000000" w:themeColor="text1"/>
        </w:rPr>
        <w:t xml:space="preserve"> </w:t>
      </w:r>
      <w:r w:rsidRPr="0084693A">
        <w:rPr>
          <w:rFonts w:ascii="Arial" w:hAnsi="Arial" w:cs="Arial"/>
          <w:color w:val="000000" w:themeColor="text1"/>
        </w:rPr>
        <w:t>provides further advice, including meditation or gentle exercise such as walking, swimming, gardening and dancing.</w:t>
      </w:r>
    </w:p>
    <w:p w14:paraId="286DE61D" w14:textId="77777777" w:rsidR="006061CA" w:rsidRDefault="006061CA" w:rsidP="00AA6D76">
      <w:pPr>
        <w:pStyle w:val="NormalWeb"/>
        <w:rPr>
          <w:rFonts w:ascii="Arial" w:hAnsi="Arial" w:cs="Arial"/>
          <w:color w:val="000000" w:themeColor="text1"/>
        </w:rPr>
      </w:pPr>
    </w:p>
    <w:p w14:paraId="031C81FF" w14:textId="77777777" w:rsidR="001B3B7F" w:rsidRPr="001B3B7F" w:rsidRDefault="001B3B7F" w:rsidP="00AA6D76">
      <w:pPr>
        <w:pStyle w:val="NormalWeb"/>
        <w:rPr>
          <w:rFonts w:ascii="Arial" w:hAnsi="Arial" w:cs="Arial"/>
          <w:color w:val="0070C0"/>
          <w:sz w:val="28"/>
          <w:szCs w:val="28"/>
        </w:rPr>
      </w:pPr>
    </w:p>
    <w:p w14:paraId="47E769D4" w14:textId="77777777" w:rsidR="001B3B7F" w:rsidRPr="00E0119E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 xml:space="preserve"> In Urgent and Emergency care </w:t>
      </w:r>
    </w:p>
    <w:p w14:paraId="02F401C7" w14:textId="77777777" w:rsidR="00101B31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Colleagues working in Urgent Care and Emergency Care departments at the </w:t>
      </w:r>
      <w:r w:rsidR="001B3B7F">
        <w:rPr>
          <w:rFonts w:ascii="Arial" w:hAnsi="Arial" w:cs="Arial"/>
          <w:color w:val="000000" w:themeColor="text1"/>
        </w:rPr>
        <w:t xml:space="preserve">Doncaster and Bassetlaw Teaching Hospital </w:t>
      </w:r>
      <w:r w:rsidRPr="0084693A">
        <w:rPr>
          <w:rFonts w:ascii="Arial" w:hAnsi="Arial" w:cs="Arial"/>
          <w:color w:val="000000" w:themeColor="text1"/>
        </w:rPr>
        <w:t xml:space="preserve">NHS Foundation Trust are supportive of this position statement in primary care. </w:t>
      </w:r>
    </w:p>
    <w:p w14:paraId="09B8753D" w14:textId="21ACF306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>Patients will not receive a supply or prescription for opioids to manage their chronic pain in these settings.</w:t>
      </w:r>
    </w:p>
    <w:p w14:paraId="49DA4668" w14:textId="77777777" w:rsidR="001B3B7F" w:rsidRDefault="001B3B7F" w:rsidP="00AA6D76">
      <w:pPr>
        <w:pStyle w:val="NormalWeb"/>
        <w:rPr>
          <w:rFonts w:ascii="Arial" w:hAnsi="Arial" w:cs="Arial"/>
          <w:color w:val="000000" w:themeColor="text1"/>
        </w:rPr>
      </w:pPr>
    </w:p>
    <w:p w14:paraId="7F16CC74" w14:textId="77777777" w:rsidR="00101B31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For patients requiring analgesia to treat an acute condition, a limited amount of pain medication will be supplied for the </w:t>
      </w:r>
      <w:r w:rsidR="001B3B7F" w:rsidRPr="0084693A">
        <w:rPr>
          <w:rFonts w:ascii="Arial" w:hAnsi="Arial" w:cs="Arial"/>
          <w:color w:val="000000" w:themeColor="text1"/>
        </w:rPr>
        <w:t>short-term</w:t>
      </w:r>
      <w:r w:rsidRPr="0084693A">
        <w:rPr>
          <w:rFonts w:ascii="Arial" w:hAnsi="Arial" w:cs="Arial"/>
          <w:color w:val="000000" w:themeColor="text1"/>
        </w:rPr>
        <w:t xml:space="preserve"> basis.</w:t>
      </w:r>
    </w:p>
    <w:p w14:paraId="19DE5B23" w14:textId="65F4E58A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</w:t>
      </w:r>
    </w:p>
    <w:p w14:paraId="7A2C70BE" w14:textId="15EE26FC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The amount issued will be communicated to the GP who can then review ongoing pain management needs if appropriate. </w:t>
      </w:r>
    </w:p>
    <w:p w14:paraId="6C5A429F" w14:textId="1B21BF07" w:rsidR="001B3B7F" w:rsidRDefault="001B3B7F" w:rsidP="00AA6D76">
      <w:pPr>
        <w:pStyle w:val="NormalWeb"/>
        <w:rPr>
          <w:rFonts w:ascii="Arial" w:hAnsi="Arial" w:cs="Arial"/>
          <w:color w:val="000000" w:themeColor="text1"/>
        </w:rPr>
      </w:pPr>
    </w:p>
    <w:p w14:paraId="78AA36DF" w14:textId="77777777" w:rsidR="006061CA" w:rsidRDefault="006061CA" w:rsidP="00AA6D76">
      <w:pPr>
        <w:pStyle w:val="NormalWeb"/>
        <w:rPr>
          <w:rFonts w:ascii="Arial" w:hAnsi="Arial" w:cs="Arial"/>
          <w:color w:val="000000" w:themeColor="text1"/>
        </w:rPr>
      </w:pPr>
    </w:p>
    <w:p w14:paraId="7F56F525" w14:textId="0FAEC920" w:rsidR="00E0119E" w:rsidRPr="006061CA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6061CA">
        <w:rPr>
          <w:rFonts w:ascii="Arial" w:hAnsi="Arial" w:cs="Arial"/>
          <w:b/>
          <w:bCs/>
          <w:color w:val="0070C0"/>
          <w:sz w:val="28"/>
          <w:szCs w:val="28"/>
        </w:rPr>
        <w:t xml:space="preserve">Further information and useful resources: </w:t>
      </w:r>
    </w:p>
    <w:p w14:paraId="3F667C9C" w14:textId="77777777" w:rsidR="00E0119E" w:rsidRDefault="00E0119E" w:rsidP="00AA6D76">
      <w:pPr>
        <w:pStyle w:val="NormalWeb"/>
        <w:rPr>
          <w:rFonts w:ascii="Arial" w:hAnsi="Arial" w:cs="Arial"/>
          <w:color w:val="000000" w:themeColor="text1"/>
        </w:rPr>
      </w:pPr>
    </w:p>
    <w:p w14:paraId="36EC5DAF" w14:textId="0E049FBA" w:rsidR="00611B4C" w:rsidRDefault="001B3B7F" w:rsidP="00E0119E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Doncaster</w:t>
      </w:r>
      <w:r w:rsidR="00611B4C" w:rsidRPr="0084693A">
        <w:rPr>
          <w:rFonts w:ascii="Arial" w:hAnsi="Arial" w:cs="Arial"/>
          <w:color w:val="000000" w:themeColor="text1"/>
        </w:rPr>
        <w:t xml:space="preserve"> CCG M</w:t>
      </w:r>
      <w:r>
        <w:rPr>
          <w:rFonts w:ascii="Arial" w:hAnsi="Arial" w:cs="Arial"/>
          <w:color w:val="000000" w:themeColor="text1"/>
        </w:rPr>
        <w:t>edicines management</w:t>
      </w:r>
      <w:r w:rsidR="00611B4C" w:rsidRPr="0084693A">
        <w:rPr>
          <w:rFonts w:ascii="Arial" w:hAnsi="Arial" w:cs="Arial"/>
          <w:color w:val="000000" w:themeColor="text1"/>
        </w:rPr>
        <w:t xml:space="preserve"> team </w:t>
      </w:r>
      <w:hyperlink r:id="rId17" w:history="1">
        <w:r w:rsidR="00E0119E" w:rsidRPr="00A40D0A">
          <w:rPr>
            <w:rStyle w:val="Hyperlink"/>
            <w:rFonts w:ascii="Arial" w:hAnsi="Arial" w:cs="Arial"/>
          </w:rPr>
          <w:t>donccg.medicinesmanagementadmin@nhs.net</w:t>
        </w:r>
      </w:hyperlink>
    </w:p>
    <w:p w14:paraId="62706448" w14:textId="0CC40376" w:rsidR="004B3092" w:rsidRDefault="004B3092" w:rsidP="00E0119E">
      <w:pPr>
        <w:pStyle w:val="NormalWeb"/>
        <w:rPr>
          <w:rFonts w:ascii="Arial" w:hAnsi="Arial" w:cs="Arial"/>
          <w:color w:val="000000" w:themeColor="text1"/>
        </w:rPr>
      </w:pPr>
    </w:p>
    <w:p w14:paraId="56C58F85" w14:textId="73D773C4" w:rsidR="004B3092" w:rsidRPr="004B3092" w:rsidRDefault="00A85D9F" w:rsidP="00E0119E">
      <w:pPr>
        <w:pStyle w:val="NormalWeb"/>
        <w:rPr>
          <w:rFonts w:ascii="Arial" w:hAnsi="Arial" w:cs="Arial"/>
          <w:color w:val="000000" w:themeColor="text1"/>
        </w:rPr>
      </w:pPr>
      <w:hyperlink r:id="rId18" w:history="1">
        <w:r w:rsidR="004B3092" w:rsidRPr="004B3092">
          <w:rPr>
            <w:rStyle w:val="Hyperlink"/>
            <w:rFonts w:ascii="Arial" w:hAnsi="Arial" w:cs="Arial"/>
            <w:lang w:eastAsia="en-US"/>
          </w:rPr>
          <w:t>http://medicinesmanagement.doncasterccg.nhs.uk/controlled-drugs/opioid-deprescribing-and-review-resources/</w:t>
        </w:r>
      </w:hyperlink>
    </w:p>
    <w:p w14:paraId="3BD54B70" w14:textId="77777777" w:rsidR="00E0119E" w:rsidRDefault="00E0119E" w:rsidP="00AA6D76">
      <w:pPr>
        <w:pStyle w:val="NormalWeb"/>
        <w:rPr>
          <w:rFonts w:ascii="Arial" w:hAnsi="Arial" w:cs="Arial"/>
          <w:color w:val="000000" w:themeColor="text1"/>
        </w:rPr>
      </w:pPr>
    </w:p>
    <w:p w14:paraId="7DE6AE0A" w14:textId="6CE9E890" w:rsidR="00E0119E" w:rsidRDefault="00A85D9F" w:rsidP="00AA6D76">
      <w:pPr>
        <w:pStyle w:val="NormalWeb"/>
        <w:rPr>
          <w:rFonts w:ascii="Arial" w:hAnsi="Arial" w:cs="Arial"/>
          <w:color w:val="000000" w:themeColor="text1"/>
        </w:rPr>
      </w:pPr>
      <w:hyperlink r:id="rId19" w:history="1">
        <w:r w:rsidR="00E0119E" w:rsidRPr="00A40D0A">
          <w:rPr>
            <w:rStyle w:val="Hyperlink"/>
            <w:rFonts w:ascii="Arial" w:hAnsi="Arial" w:cs="Arial"/>
          </w:rPr>
          <w:t>https://www.rcgp.org.uk/clinical-and-research/resources/a-to-z-clinical-resources/dependence-forming-medications.aspx</w:t>
        </w:r>
      </w:hyperlink>
    </w:p>
    <w:p w14:paraId="12801C39" w14:textId="57C76A08" w:rsidR="00D91FB0" w:rsidRDefault="00D91FB0">
      <w:pPr>
        <w:rPr>
          <w:color w:val="000000" w:themeColor="text1"/>
          <w:sz w:val="24"/>
          <w:szCs w:val="24"/>
        </w:rPr>
      </w:pPr>
    </w:p>
    <w:p w14:paraId="183B9F02" w14:textId="424FCAFF" w:rsidR="00D91FB0" w:rsidRDefault="00D91FB0">
      <w:pPr>
        <w:rPr>
          <w:color w:val="000000" w:themeColor="text1"/>
          <w:sz w:val="24"/>
          <w:szCs w:val="24"/>
        </w:rPr>
      </w:pPr>
    </w:p>
    <w:p w14:paraId="537546E7" w14:textId="77777777" w:rsidR="00D91FB0" w:rsidRPr="00611B4C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 xml:space="preserve">1. Royal College of Anaesthetists (The), Faculty of Pain Medicine. The Effectiveness of Opioids for Long Term Pain. 2019 </w:t>
      </w:r>
    </w:p>
    <w:p w14:paraId="552DDECA" w14:textId="77777777" w:rsidR="00D91FB0" w:rsidRPr="00611B4C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>2. Public Health England. Dependence and withdrawal associated with some prescribed medicine: An evidence review. 2019</w:t>
      </w:r>
    </w:p>
    <w:p w14:paraId="5BC8C12D" w14:textId="1F09854A" w:rsidR="00D91FB0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 xml:space="preserve"> 3. Royal College of Anaesthetists (The), Faculty of Pain Medicine. Opioids Aware: A resource for patients and healthcare professionals to support prescribing of opioid medicines for pain. 2016</w:t>
      </w:r>
    </w:p>
    <w:p w14:paraId="4B4B1909" w14:textId="4D7108C3" w:rsidR="00EC4CCA" w:rsidRDefault="00EC4CCA" w:rsidP="00D91FB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4. NHS Sunderland CCG. </w:t>
      </w:r>
      <w:hyperlink r:id="rId20" w:history="1">
        <w:r w:rsidRPr="005312EB">
          <w:rPr>
            <w:rStyle w:val="Hyperlink"/>
            <w:sz w:val="20"/>
            <w:szCs w:val="20"/>
          </w:rPr>
          <w:t>https://www.sunderlandccg.nhs.uk/wp-content/uploads/2019/09/FINAL-SCCG-Position-Statement-on-Opioid-Prescribing-V5.pdf</w:t>
        </w:r>
      </w:hyperlink>
    </w:p>
    <w:p w14:paraId="3D261DDC" w14:textId="77777777" w:rsidR="00EC4CCA" w:rsidRPr="00611B4C" w:rsidRDefault="00EC4CCA" w:rsidP="00D91FB0">
      <w:pPr>
        <w:pStyle w:val="NormalWeb"/>
        <w:rPr>
          <w:sz w:val="20"/>
          <w:szCs w:val="20"/>
        </w:rPr>
      </w:pPr>
    </w:p>
    <w:p w14:paraId="0A2B661E" w14:textId="77777777" w:rsidR="00D91FB0" w:rsidRPr="0084693A" w:rsidRDefault="00D91FB0">
      <w:pPr>
        <w:rPr>
          <w:color w:val="000000" w:themeColor="text1"/>
          <w:sz w:val="24"/>
          <w:szCs w:val="24"/>
        </w:rPr>
      </w:pPr>
    </w:p>
    <w:sectPr w:rsidR="00D91FB0" w:rsidRPr="0084693A" w:rsidSect="005F4975">
      <w:footerReference w:type="default" r:id="rId21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BF83" w14:textId="77777777" w:rsidR="00A85D9F" w:rsidRDefault="00A85D9F" w:rsidP="00AA6D76">
      <w:pPr>
        <w:spacing w:after="0" w:line="240" w:lineRule="auto"/>
      </w:pPr>
      <w:r>
        <w:separator/>
      </w:r>
    </w:p>
  </w:endnote>
  <w:endnote w:type="continuationSeparator" w:id="0">
    <w:p w14:paraId="26AE2261" w14:textId="77777777" w:rsidR="00A85D9F" w:rsidRDefault="00A85D9F" w:rsidP="00A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E70C8" w14:textId="5A59A746" w:rsidR="00AA6D76" w:rsidRDefault="007E2572">
    <w:pPr>
      <w:pStyle w:val="Footer"/>
    </w:pPr>
    <w:r w:rsidRPr="007E2572">
      <w:rPr>
        <w:sz w:val="18"/>
        <w:szCs w:val="18"/>
      </w:rPr>
      <w:t>CCG position statement on Opioids</w:t>
    </w:r>
    <w:r w:rsidRPr="007E2572">
      <w:rPr>
        <w:sz w:val="18"/>
        <w:szCs w:val="18"/>
      </w:rPr>
      <w:ptab w:relativeTo="margin" w:alignment="center" w:leader="none"/>
    </w:r>
    <w:r w:rsidRPr="007E2572">
      <w:rPr>
        <w:sz w:val="18"/>
        <w:szCs w:val="18"/>
      </w:rPr>
      <w:t>created 05/2021</w:t>
    </w:r>
    <w:r w:rsidRPr="007E2572">
      <w:rPr>
        <w:sz w:val="18"/>
        <w:szCs w:val="18"/>
      </w:rPr>
      <w:ptab w:relativeTo="margin" w:alignment="right" w:leader="none"/>
    </w:r>
    <w:r w:rsidRPr="007E2572">
      <w:rPr>
        <w:sz w:val="18"/>
        <w:szCs w:val="18"/>
      </w:rPr>
      <w:t xml:space="preserve">Page </w:t>
    </w:r>
    <w:r w:rsidRPr="007E2572">
      <w:rPr>
        <w:sz w:val="18"/>
        <w:szCs w:val="18"/>
      </w:rPr>
      <w:fldChar w:fldCharType="begin"/>
    </w:r>
    <w:r w:rsidRPr="007E2572">
      <w:rPr>
        <w:sz w:val="18"/>
        <w:szCs w:val="18"/>
      </w:rPr>
      <w:instrText xml:space="preserve"> PAGE   \* MERGEFORMAT </w:instrText>
    </w:r>
    <w:r w:rsidRPr="007E2572">
      <w:rPr>
        <w:sz w:val="18"/>
        <w:szCs w:val="18"/>
      </w:rPr>
      <w:fldChar w:fldCharType="separate"/>
    </w:r>
    <w:r w:rsidR="00A85D9F" w:rsidRPr="00A85D9F">
      <w:rPr>
        <w:b/>
        <w:bCs/>
        <w:noProof/>
        <w:sz w:val="18"/>
        <w:szCs w:val="18"/>
      </w:rPr>
      <w:t>1</w:t>
    </w:r>
    <w:r w:rsidRPr="007E2572">
      <w:rPr>
        <w:b/>
        <w:bCs/>
        <w:noProof/>
        <w:sz w:val="18"/>
        <w:szCs w:val="18"/>
      </w:rPr>
      <w:fldChar w:fldCharType="end"/>
    </w:r>
    <w:r w:rsidRPr="007E2572">
      <w:rPr>
        <w:b/>
        <w:bCs/>
        <w:sz w:val="18"/>
        <w:szCs w:val="18"/>
      </w:rPr>
      <w:t xml:space="preserve"> </w:t>
    </w:r>
    <w:r w:rsidRPr="007E2572">
      <w:rPr>
        <w:sz w:val="18"/>
        <w:szCs w:val="18"/>
      </w:rPr>
      <w:t>|</w:t>
    </w:r>
    <w:r w:rsidRPr="007E2572"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8955F" w14:textId="77777777" w:rsidR="00A85D9F" w:rsidRDefault="00A85D9F" w:rsidP="00AA6D76">
      <w:pPr>
        <w:spacing w:after="0" w:line="240" w:lineRule="auto"/>
      </w:pPr>
      <w:r>
        <w:separator/>
      </w:r>
    </w:p>
  </w:footnote>
  <w:footnote w:type="continuationSeparator" w:id="0">
    <w:p w14:paraId="6107580E" w14:textId="77777777" w:rsidR="00A85D9F" w:rsidRDefault="00A85D9F" w:rsidP="00A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7BDC45E2">
      <w:start w:val="1"/>
      <w:numFmt w:val="bullet"/>
      <w:lvlText w:val="•"/>
      <w:lvlJc w:val="left"/>
    </w:lvl>
    <w:lvl w:ilvl="1" w:tplc="862478FA">
      <w:start w:val="1"/>
      <w:numFmt w:val="bullet"/>
      <w:lvlText w:val=""/>
      <w:lvlJc w:val="left"/>
    </w:lvl>
    <w:lvl w:ilvl="2" w:tplc="6C40700E">
      <w:start w:val="1"/>
      <w:numFmt w:val="bullet"/>
      <w:lvlText w:val=""/>
      <w:lvlJc w:val="left"/>
    </w:lvl>
    <w:lvl w:ilvl="3" w:tplc="26DAEB9A">
      <w:start w:val="1"/>
      <w:numFmt w:val="bullet"/>
      <w:lvlText w:val=""/>
      <w:lvlJc w:val="left"/>
    </w:lvl>
    <w:lvl w:ilvl="4" w:tplc="F5FC7B16">
      <w:start w:val="1"/>
      <w:numFmt w:val="bullet"/>
      <w:lvlText w:val=""/>
      <w:lvlJc w:val="left"/>
    </w:lvl>
    <w:lvl w:ilvl="5" w:tplc="573293C4">
      <w:start w:val="1"/>
      <w:numFmt w:val="bullet"/>
      <w:lvlText w:val=""/>
      <w:lvlJc w:val="left"/>
    </w:lvl>
    <w:lvl w:ilvl="6" w:tplc="67246A7C">
      <w:start w:val="1"/>
      <w:numFmt w:val="bullet"/>
      <w:lvlText w:val=""/>
      <w:lvlJc w:val="left"/>
    </w:lvl>
    <w:lvl w:ilvl="7" w:tplc="A31A9F4A">
      <w:start w:val="1"/>
      <w:numFmt w:val="bullet"/>
      <w:lvlText w:val=""/>
      <w:lvlJc w:val="left"/>
    </w:lvl>
    <w:lvl w:ilvl="8" w:tplc="5BA06C0C">
      <w:start w:val="1"/>
      <w:numFmt w:val="bullet"/>
      <w:lvlText w:val=""/>
      <w:lvlJc w:val="left"/>
    </w:lvl>
  </w:abstractNum>
  <w:abstractNum w:abstractNumId="1">
    <w:nsid w:val="00BB44BE"/>
    <w:multiLevelType w:val="hybridMultilevel"/>
    <w:tmpl w:val="CF66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76"/>
    <w:rsid w:val="00037DDA"/>
    <w:rsid w:val="000860F2"/>
    <w:rsid w:val="00097A83"/>
    <w:rsid w:val="000B1148"/>
    <w:rsid w:val="000D5E08"/>
    <w:rsid w:val="00101B31"/>
    <w:rsid w:val="001403A7"/>
    <w:rsid w:val="001B3B7F"/>
    <w:rsid w:val="001D2519"/>
    <w:rsid w:val="00236136"/>
    <w:rsid w:val="002F4C65"/>
    <w:rsid w:val="0036636F"/>
    <w:rsid w:val="003675C5"/>
    <w:rsid w:val="00373333"/>
    <w:rsid w:val="00431C7D"/>
    <w:rsid w:val="00444804"/>
    <w:rsid w:val="00495FAF"/>
    <w:rsid w:val="004B3092"/>
    <w:rsid w:val="005231B7"/>
    <w:rsid w:val="005A0454"/>
    <w:rsid w:val="005F4975"/>
    <w:rsid w:val="00605637"/>
    <w:rsid w:val="006061CA"/>
    <w:rsid w:val="00611B4C"/>
    <w:rsid w:val="006D0208"/>
    <w:rsid w:val="00742FB8"/>
    <w:rsid w:val="00796AFC"/>
    <w:rsid w:val="007D7F4A"/>
    <w:rsid w:val="007E2572"/>
    <w:rsid w:val="00823EF8"/>
    <w:rsid w:val="0084693A"/>
    <w:rsid w:val="0085634E"/>
    <w:rsid w:val="008B2C78"/>
    <w:rsid w:val="008D24E6"/>
    <w:rsid w:val="009172FE"/>
    <w:rsid w:val="009B67DC"/>
    <w:rsid w:val="00A85D9F"/>
    <w:rsid w:val="00A97465"/>
    <w:rsid w:val="00AA6D76"/>
    <w:rsid w:val="00C43EDB"/>
    <w:rsid w:val="00C74A42"/>
    <w:rsid w:val="00C82688"/>
    <w:rsid w:val="00C9061A"/>
    <w:rsid w:val="00CC08F7"/>
    <w:rsid w:val="00D2529E"/>
    <w:rsid w:val="00D615C9"/>
    <w:rsid w:val="00D91FB0"/>
    <w:rsid w:val="00DA7AE4"/>
    <w:rsid w:val="00DD4709"/>
    <w:rsid w:val="00E0119E"/>
    <w:rsid w:val="00E74881"/>
    <w:rsid w:val="00EC4CCA"/>
    <w:rsid w:val="00F97E1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76"/>
  </w:style>
  <w:style w:type="paragraph" w:styleId="Footer">
    <w:name w:val="footer"/>
    <w:basedOn w:val="Normal"/>
    <w:link w:val="Foot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6"/>
  </w:style>
  <w:style w:type="character" w:styleId="Hyperlink">
    <w:name w:val="Hyperlink"/>
    <w:basedOn w:val="DefaultParagraphFont"/>
    <w:uiPriority w:val="99"/>
    <w:unhideWhenUsed/>
    <w:rsid w:val="003663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42"/>
    <w:rPr>
      <w:b/>
      <w:bCs/>
      <w:sz w:val="20"/>
      <w:szCs w:val="20"/>
    </w:rPr>
  </w:style>
  <w:style w:type="paragraph" w:customStyle="1" w:styleId="Default">
    <w:name w:val="Default"/>
    <w:rsid w:val="000B1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A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76"/>
  </w:style>
  <w:style w:type="paragraph" w:styleId="Footer">
    <w:name w:val="footer"/>
    <w:basedOn w:val="Normal"/>
    <w:link w:val="Foot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6"/>
  </w:style>
  <w:style w:type="character" w:styleId="Hyperlink">
    <w:name w:val="Hyperlink"/>
    <w:basedOn w:val="DefaultParagraphFont"/>
    <w:uiPriority w:val="99"/>
    <w:unhideWhenUsed/>
    <w:rsid w:val="003663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42"/>
    <w:rPr>
      <w:b/>
      <w:bCs/>
      <w:sz w:val="20"/>
      <w:szCs w:val="20"/>
    </w:rPr>
  </w:style>
  <w:style w:type="paragraph" w:customStyle="1" w:styleId="Default">
    <w:name w:val="Default"/>
    <w:rsid w:val="000B1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coa.ac.uk/faculty-of-pain-medicine/opioids-aware/structured-approach-to-prescribing/tapering-and-stopping" TargetMode="External"/><Relationship Id="rId18" Type="http://schemas.openxmlformats.org/officeDocument/2006/relationships/hyperlink" Target="http://medicinesmanagement.doncasterccg.nhs.uk/controlled-drugs/opioid-deprescribing-and-review-resourc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donccg.medicinesmanagementadmin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live-well/healthy-body/10-ways-to-ease-pain/" TargetMode="External"/><Relationship Id="rId20" Type="http://schemas.openxmlformats.org/officeDocument/2006/relationships/hyperlink" Target="https://www.sunderlandccg.nhs.uk/wp-content/uploads/2019/09/FINAL-SCCG-Position-Statement-on-Opioid-Prescribing-V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rcgp.org.uk/clinical-and-research/resources/a-to-z-clinical-resources/dependence-forming-medication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q=nhs+england+logo&amp;id=6CBFDEF89EA4091089BB112052D54C4363AAC124&amp;FORM=IQFRBA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D90B-7A58-4CE2-A6D4-79CFB616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Molyneux</dc:creator>
  <cp:lastModifiedBy>McBride, Joanne</cp:lastModifiedBy>
  <cp:revision>2</cp:revision>
  <cp:lastPrinted>2019-11-15T12:11:00Z</cp:lastPrinted>
  <dcterms:created xsi:type="dcterms:W3CDTF">2021-07-14T08:51:00Z</dcterms:created>
  <dcterms:modified xsi:type="dcterms:W3CDTF">2021-07-14T08:51:00Z</dcterms:modified>
</cp:coreProperties>
</file>